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项目名称：LC-MS非靶标代谢组学检测等服务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项目编号：BSRMYY-YNCG-2024-07002</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7.投标产品介绍（能查看到产品参数）</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1.公司营业执照（须圈出符合资质要求的经营范围和有效期）投标人需具有 Illumina测序资质授权，有Illumina Nextseq及illumina novaseq等仪器；非靶代谢需同时具有Orbitrap Exploris™ 240 质谱仪2台以上，Thermo QE-HFX仪器7台及以上；代谢组学需具有QI软件的采购合同或授权，代谢的数据库为Metlin2019 ；具有室间质评证书；具有CNAS 资质；有交互式云平台，能提供一站式组学无忧解决方案；科研实力强，2024年发表文章数不低于2000篇，影响因子不低于15000分，10分以上的文章不低于500篇；</w:t>
      </w:r>
      <w:r>
        <w:rPr>
          <w:rFonts w:hint="eastAsia" w:ascii="仿宋_GB2312" w:hAnsi="Arial" w:eastAsia="仿宋_GB2312" w:cstheme="minorBidi"/>
          <w:b/>
          <w:color w:val="auto"/>
          <w:kern w:val="2"/>
          <w:sz w:val="32"/>
          <w:szCs w:val="32"/>
          <w:lang w:val="en-US" w:eastAsia="zh-CN" w:bidi="ar-SA"/>
        </w:rPr>
        <w:t>（请提供佐证依据）</w:t>
      </w: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服务报价表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659"/>
        <w:gridCol w:w="960"/>
        <w:gridCol w:w="1065"/>
        <w:gridCol w:w="100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项目</w:t>
            </w:r>
            <w:r>
              <w:rPr>
                <w:rFonts w:hint="default" w:ascii="Times New Roman" w:hAnsi="Times New Roman" w:eastAsia="仿宋" w:cs="Times New Roman"/>
                <w:b/>
                <w:kern w:val="0"/>
                <w:sz w:val="24"/>
                <w:szCs w:val="24"/>
              </w:rPr>
              <w:t>名称</w:t>
            </w:r>
          </w:p>
        </w:tc>
        <w:tc>
          <w:tcPr>
            <w:tcW w:w="4659"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服务要求</w:t>
            </w:r>
            <w:r>
              <w:rPr>
                <w:rFonts w:hint="eastAsia" w:ascii="Times New Roman" w:hAnsi="Times New Roman" w:eastAsia="仿宋" w:cs="Times New Roman"/>
                <w:b/>
                <w:bCs w:val="0"/>
                <w:kern w:val="0"/>
                <w:sz w:val="24"/>
                <w:szCs w:val="24"/>
                <w:lang w:val="en-US" w:eastAsia="zh-CN"/>
              </w:rPr>
              <w:t>（须完全响应）</w:t>
            </w:r>
          </w:p>
        </w:tc>
        <w:tc>
          <w:tcPr>
            <w:tcW w:w="960"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服务数量</w:t>
            </w:r>
          </w:p>
        </w:tc>
        <w:tc>
          <w:tcPr>
            <w:tcW w:w="1065"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w:t>
            </w:r>
          </w:p>
        </w:tc>
        <w:tc>
          <w:tcPr>
            <w:tcW w:w="1005" w:type="dxa"/>
            <w:vAlign w:val="center"/>
          </w:tcPr>
          <w:p>
            <w:pPr>
              <w:widowControl/>
              <w:spacing w:line="360" w:lineRule="auto"/>
              <w:jc w:val="center"/>
              <w:rPr>
                <w:rFonts w:hint="default"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合计</w:t>
            </w:r>
          </w:p>
        </w:tc>
        <w:tc>
          <w:tcPr>
            <w:tcW w:w="1001" w:type="dxa"/>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bookmarkStart w:id="35" w:name="_GoBack" w:colFirst="2" w:colLast="2"/>
            <w:r>
              <w:rPr>
                <w:rFonts w:hint="eastAsia" w:ascii="Times New Roman" w:hAnsi="Times New Roman" w:eastAsia="仿宋" w:cs="Times New Roman"/>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LC-MS非靶标代谢组学检测</w:t>
            </w:r>
          </w:p>
        </w:tc>
        <w:tc>
          <w:tcPr>
            <w:tcW w:w="4659" w:type="dxa"/>
            <w:vAlign w:val="center"/>
          </w:tcPr>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（1）代谢物提取：样本中代谢物提取需在ISO 9001认证或CNAS认证实验室操作，提取样本代谢物时需加入内标（不低于4种），用混合的有机溶剂提取，上机检测；</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（2）代谢物上机检测：使用Thermo Q-Exactive HF-X等主流试验仪器检测，实验检测需在ISO 9001认证或CNAS认证实验室操作；正负离子两种模式全部检测；检测过程中需包含空白样品、QC样品；检测过程中不低于4种内标作为质控；</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（3）代谢物鉴定：下机原始数据使用Agilent MassHunter、Compound Discovery、Waters Progenesis QI、Lipid Search等主流的代谢组学搜库软件进行搜库（代谢公共数据库HMDB和Metlin数据库），匹配二级谱图库进行物质定性，同时进行代谢物溯源工作（注：数据库要求含保留时间、一级精确质量和二级图谱的数据库）。</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（4）数据分析：提供在线自主参数设置动态交互的高级云流程分析，对数据进行标准分析和高级分析（至少20+项分析），且分析参数和图片配色等可在云平台上随时调整：</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Progenesis_QI LC-MS搜库软件+自主开发的专业软件及R语言包+自主开发的单、多元变量联合统计分析方法，分析内容包括：表达量数据预处理（去除特征值、缺失值填充、QC验证、数据归一化）、样本比较分析（样本相关性热图、PCA分析）、代谢物注释信息（KEGG化合物分类、KEGG功能通路、HMDB化合物分类、代谢物总览）、差异代谢物分析（PCA分析、PLS-DA分析、OPLS-DA分析、差异火山图）、代谢集分析（Venn分析、代谢物聚类分析、VIP 值分析、代谢物相关性分析、KEGG 化合物分类、KEGG功能通路、KEGG通路富集、HMDB化合物分类、iPath代谢通路分析、关联分析-相关性热图、关联分析-普氏分析）。</w:t>
            </w:r>
          </w:p>
          <w:p>
            <w:pPr>
              <w:spacing w:line="360" w:lineRule="auto"/>
              <w:ind w:left="0" w:leftChars="0" w:firstLine="0" w:firstLineChars="0"/>
              <w:rPr>
                <w:rFonts w:hint="default" w:ascii="宋体" w:hAnsi="宋体" w:eastAsia="宋体" w:cs="宋体"/>
                <w:b w:val="0"/>
                <w:color w:val="000000"/>
                <w:kern w:val="0"/>
                <w:sz w:val="22"/>
                <w:szCs w:val="22"/>
                <w:lang w:val="en-US" w:eastAsia="zh-CN" w:bidi="ar"/>
              </w:rPr>
            </w:pPr>
            <w:r>
              <w:rPr>
                <w:rFonts w:hint="eastAsia" w:asciiTheme="minorEastAsia" w:hAnsiTheme="minorEastAsia"/>
                <w:color w:val="000000" w:themeColor="text1"/>
                <w:szCs w:val="21"/>
                <w14:textFill>
                  <w14:solidFill>
                    <w14:schemeClr w14:val="tx1"/>
                  </w14:solidFill>
                </w14:textFill>
              </w:rPr>
              <w:t>（5）项目周期：每批次样本到公司后，每批次服务周期不超过30天。</w:t>
            </w:r>
          </w:p>
        </w:tc>
        <w:tc>
          <w:tcPr>
            <w:tcW w:w="960"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24个样本</w:t>
            </w:r>
          </w:p>
        </w:tc>
        <w:tc>
          <w:tcPr>
            <w:tcW w:w="106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500元</w:t>
            </w:r>
          </w:p>
        </w:tc>
        <w:tc>
          <w:tcPr>
            <w:tcW w:w="100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12000元</w:t>
            </w:r>
          </w:p>
        </w:tc>
        <w:tc>
          <w:tcPr>
            <w:tcW w:w="1001" w:type="dxa"/>
            <w:vMerge w:val="restart"/>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2</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cs="微软雅黑"/>
                <w:i w:val="0"/>
                <w:iCs w:val="0"/>
                <w:caps w:val="0"/>
                <w:color w:val="000000"/>
                <w:spacing w:val="0"/>
                <w:sz w:val="21"/>
                <w:szCs w:val="21"/>
                <w:shd w:val="clear" w:color="auto" w:fill="FFFFFF"/>
                <w:lang w:val="en-US" w:eastAsia="zh-CN"/>
              </w:rPr>
              <w:t>有参转录组测序RNAseq</w:t>
            </w:r>
          </w:p>
        </w:tc>
        <w:tc>
          <w:tcPr>
            <w:tcW w:w="4659" w:type="dxa"/>
            <w:vAlign w:val="center"/>
          </w:tcPr>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 测序要求：要求使用Illumina NovaSeq xplus高通量测序平台，获得不少于6G clean data的测序数据量；</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（2）分析内容：提供在线自主参数设置动态交互的高级云流程分析，对数据进行标准分析和高级分析（至少60+项分析），且分析参数和图片配色等可在云平台上随时调整：</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（3）生信分析：提供NR、Swiss-Prot、Pfam、COG、GO、KEGG  6个数据库的注释数据，功能注释与查询、差异基因数据挖掘、表达量差异统计、聚类分析、</w:t>
            </w:r>
            <w:r>
              <w:rPr>
                <w:rFonts w:asciiTheme="minorEastAsia" w:hAnsiTheme="minorEastAsia"/>
                <w:color w:val="000000" w:themeColor="text1"/>
                <w:szCs w:val="21"/>
                <w14:textFill>
                  <w14:solidFill>
                    <w14:schemeClr w14:val="tx1"/>
                  </w14:solidFill>
                </w14:textFill>
              </w:rPr>
              <w:t>Venn分析</w:t>
            </w:r>
            <w:r>
              <w:rPr>
                <w:rFonts w:hint="eastAsia" w:asciiTheme="minorEastAsia" w:hAnsiTheme="minorEastAsia"/>
                <w:color w:val="000000" w:themeColor="text1"/>
                <w:szCs w:val="21"/>
                <w14:textFill>
                  <w14:solidFill>
                    <w14:schemeClr w14:val="tx1"/>
                  </w14:solidFill>
                </w14:textFill>
              </w:rPr>
              <w:t>、功能富集分析、</w:t>
            </w:r>
            <w:r>
              <w:rPr>
                <w:rFonts w:asciiTheme="minorEastAsia" w:hAnsiTheme="minorEastAsia"/>
                <w:color w:val="000000" w:themeColor="text1"/>
                <w:szCs w:val="21"/>
                <w14:textFill>
                  <w14:solidFill>
                    <w14:schemeClr w14:val="tx1"/>
                  </w14:solidFill>
                </w14:textFill>
              </w:rPr>
              <w:t>GO+KEGGReactome+DODisGeNET</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GO+KEGGReactome+DO</w:t>
            </w:r>
            <w:r>
              <w:rPr>
                <w:rFonts w:hint="eastAsia" w:asciiTheme="minorEastAsia" w:hAnsiTheme="minorEastAsia"/>
                <w:color w:val="000000" w:themeColor="text1"/>
                <w:szCs w:val="21"/>
                <w14:textFill>
                  <w14:solidFill>
                    <w14:schemeClr w14:val="tx1"/>
                  </w14:solidFill>
                </w14:textFill>
              </w:rPr>
              <w:t>、样本间相关性分析、样本间</w:t>
            </w:r>
            <w:r>
              <w:rPr>
                <w:rFonts w:asciiTheme="minorEastAsia" w:hAnsiTheme="minorEastAsia"/>
                <w:color w:val="000000" w:themeColor="text1"/>
                <w:szCs w:val="21"/>
                <w14:textFill>
                  <w14:solidFill>
                    <w14:schemeClr w14:val="tx1"/>
                  </w14:solidFill>
                </w14:textFill>
              </w:rPr>
              <w:t>PCA分析</w:t>
            </w:r>
            <w:r>
              <w:rPr>
                <w:rFonts w:hint="eastAsia" w:asciiTheme="minorEastAsia" w:hAnsiTheme="minorEastAsia"/>
                <w:color w:val="000000" w:themeColor="text1"/>
                <w:szCs w:val="21"/>
                <w14:textFill>
                  <w14:solidFill>
                    <w14:schemeClr w14:val="tx1"/>
                  </w14:solidFill>
                </w14:textFill>
              </w:rPr>
              <w:t>、样本间</w:t>
            </w:r>
            <w:r>
              <w:rPr>
                <w:rFonts w:asciiTheme="minorEastAsia" w:hAnsiTheme="minorEastAsia"/>
                <w:color w:val="000000" w:themeColor="text1"/>
                <w:szCs w:val="21"/>
                <w14:textFill>
                  <w14:solidFill>
                    <w14:schemeClr w14:val="tx1"/>
                  </w14:solidFill>
                </w14:textFill>
              </w:rPr>
              <w:t>Venn分析</w:t>
            </w:r>
            <w:r>
              <w:rPr>
                <w:rFonts w:hint="eastAsia" w:asciiTheme="minorEastAsia" w:hAnsiTheme="minorEastAsia"/>
                <w:color w:val="000000" w:themeColor="text1"/>
                <w:szCs w:val="21"/>
                <w14:textFill>
                  <w14:solidFill>
                    <w14:schemeClr w14:val="tx1"/>
                  </w14:solidFill>
                </w14:textFill>
              </w:rPr>
              <w:t>、基因结构数据挖掘、可变剪切分析、基因融合分析、</w:t>
            </w:r>
            <w:r>
              <w:rPr>
                <w:rFonts w:asciiTheme="minorEastAsia" w:hAnsiTheme="minorEastAsia"/>
                <w:color w:val="000000" w:themeColor="text1"/>
                <w:szCs w:val="21"/>
                <w14:textFill>
                  <w14:solidFill>
                    <w14:schemeClr w14:val="tx1"/>
                  </w14:solidFill>
                </w14:textFill>
              </w:rPr>
              <w:t>SNP/InDel分析</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Somatic分析</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WGCNA分析</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GSEA分析</w:t>
            </w:r>
            <w:r>
              <w:rPr>
                <w:rFonts w:hint="eastAsia" w:asciiTheme="minorEastAsia" w:hAnsiTheme="minorEastAsia"/>
                <w:color w:val="000000" w:themeColor="text1"/>
                <w:szCs w:val="21"/>
                <w14:textFill>
                  <w14:solidFill>
                    <w14:schemeClr w14:val="tx1"/>
                  </w14:solidFill>
                </w14:textFill>
              </w:rPr>
              <w:t>、转录因子分析、蛋白互作网络分析、时序分析等</w:t>
            </w:r>
          </w:p>
          <w:p>
            <w:pPr>
              <w:spacing w:line="360" w:lineRule="auto"/>
              <w:ind w:left="0" w:leftChars="0" w:firstLine="0" w:firstLineChars="0"/>
              <w:rPr>
                <w:rFonts w:hint="default" w:ascii="宋体" w:hAnsi="宋体" w:eastAsia="宋体" w:cs="宋体"/>
                <w:b w:val="0"/>
                <w:color w:val="000000"/>
                <w:kern w:val="0"/>
                <w:sz w:val="22"/>
                <w:szCs w:val="22"/>
                <w:lang w:val="en-US" w:eastAsia="zh-CN" w:bidi="ar"/>
              </w:rPr>
            </w:pPr>
            <w:r>
              <w:rPr>
                <w:rFonts w:hint="eastAsia" w:asciiTheme="minorEastAsia" w:hAnsiTheme="minorEastAsia"/>
                <w:color w:val="000000" w:themeColor="text1"/>
                <w:szCs w:val="21"/>
                <w14:textFill>
                  <w14:solidFill>
                    <w14:schemeClr w14:val="tx1"/>
                  </w14:solidFill>
                </w14:textFill>
              </w:rPr>
              <w:t>（4） 项目周期：每批次样本文库质检合格后，每批次服务周期不超过30天。</w:t>
            </w:r>
          </w:p>
        </w:tc>
        <w:tc>
          <w:tcPr>
            <w:tcW w:w="960" w:type="dxa"/>
            <w:vAlign w:val="center"/>
          </w:tcPr>
          <w:p>
            <w:pPr>
              <w:widowControl/>
              <w:spacing w:line="360" w:lineRule="auto"/>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24个样本</w:t>
            </w:r>
          </w:p>
        </w:tc>
        <w:tc>
          <w:tcPr>
            <w:tcW w:w="1065" w:type="dxa"/>
            <w:vAlign w:val="center"/>
          </w:tcPr>
          <w:p>
            <w:pPr>
              <w:widowControl/>
              <w:spacing w:line="360" w:lineRule="auto"/>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600元</w:t>
            </w:r>
          </w:p>
        </w:tc>
        <w:tc>
          <w:tcPr>
            <w:tcW w:w="1005" w:type="dxa"/>
            <w:vAlign w:val="center"/>
          </w:tcPr>
          <w:p>
            <w:pPr>
              <w:widowControl/>
              <w:spacing w:line="360" w:lineRule="auto"/>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14400元</w:t>
            </w:r>
          </w:p>
        </w:tc>
        <w:tc>
          <w:tcPr>
            <w:tcW w:w="1001" w:type="dxa"/>
            <w:vMerge w:val="continue"/>
            <w:tcBorders/>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3</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cs="微软雅黑"/>
                <w:i w:val="0"/>
                <w:iCs w:val="0"/>
                <w:caps w:val="0"/>
                <w:color w:val="000000"/>
                <w:spacing w:val="0"/>
                <w:sz w:val="21"/>
                <w:szCs w:val="21"/>
                <w:shd w:val="clear" w:color="auto" w:fill="FFFFFF"/>
                <w:lang w:val="en-US" w:eastAsia="zh-CN"/>
              </w:rPr>
              <w:t>粪便菌群测序</w:t>
            </w:r>
          </w:p>
        </w:tc>
        <w:tc>
          <w:tcPr>
            <w:tcW w:w="4659" w:type="dxa"/>
            <w:vAlign w:val="center"/>
          </w:tcPr>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（1）测序要求：要求使用Illumina Nextseq2000等高通量测序平台进行PE300测序；平均测序数据量（Clean data）不低于5万条；</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（2）分析内容：提供在线自主参数设置动态交互的高级云流程分析，对数据进行标准分析和高级分析（至少60+项分析），且分析参数和图片配色等可在云平台上随时调整：</w:t>
            </w:r>
          </w:p>
          <w:p>
            <w:pPr>
              <w:spacing w:line="36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（3）生信分析：物种注释与分类（ASV分类学分析、ASV物种分类统计分析、Alpha多样性分析、指数组间差异检验、稀释曲线分析）；群落组成分析（物种</w:t>
            </w:r>
            <w:r>
              <w:rPr>
                <w:rFonts w:asciiTheme="minorEastAsia" w:hAnsiTheme="minorEastAsia"/>
                <w:color w:val="000000" w:themeColor="text1"/>
                <w:szCs w:val="21"/>
                <w14:textFill>
                  <w14:solidFill>
                    <w14:schemeClr w14:val="tx1"/>
                  </w14:solidFill>
                </w14:textFill>
              </w:rPr>
              <w:t>Venn图分析</w:t>
            </w:r>
            <w:r>
              <w:rPr>
                <w:rFonts w:hint="eastAsia" w:asciiTheme="minorEastAsia" w:hAnsiTheme="minorEastAsia"/>
                <w:color w:val="000000" w:themeColor="text1"/>
                <w:szCs w:val="21"/>
                <w14:textFill>
                  <w14:solidFill>
                    <w14:schemeClr w14:val="tx1"/>
                  </w14:solidFill>
                </w14:textFill>
              </w:rPr>
              <w:t>、群落Bar/Pie/Heatmap图、Circos图）；样本比较分析（样本层级聚类分析、PCA分析、PCoA分析、NMDS分析、Adonis分析、PLS-DA分析）；物种差异分析（秩和检验分析、LEfSe多级物种差异判别分析、</w:t>
            </w:r>
            <w:r>
              <w:rPr>
                <w:rFonts w:asciiTheme="minorEastAsia" w:hAnsiTheme="minorEastAsia"/>
                <w:color w:val="000000" w:themeColor="text1"/>
                <w:szCs w:val="21"/>
                <w14:textFill>
                  <w14:solidFill>
                    <w14:schemeClr w14:val="tx1"/>
                  </w14:solidFill>
                </w14:textFill>
              </w:rPr>
              <w:t>Metagenomeseq差异分析</w:t>
            </w:r>
            <w:r>
              <w:rPr>
                <w:rFonts w:hint="eastAsia" w:asciiTheme="minorEastAsia" w:hAnsiTheme="minorEastAsia"/>
                <w:color w:val="000000" w:themeColor="text1"/>
                <w:szCs w:val="21"/>
                <w14:textFill>
                  <w14:solidFill>
                    <w14:schemeClr w14:val="tx1"/>
                  </w14:solidFill>
                </w14:textFill>
              </w:rPr>
              <w:t>）；临床因子关联分析（</w:t>
            </w:r>
            <w:r>
              <w:rPr>
                <w:rFonts w:asciiTheme="minorEastAsia" w:hAnsiTheme="minorEastAsia"/>
                <w:color w:val="000000" w:themeColor="text1"/>
                <w:szCs w:val="21"/>
                <w14:textFill>
                  <w14:solidFill>
                    <w14:schemeClr w14:val="tx1"/>
                  </w14:solidFill>
                </w14:textFill>
              </w:rPr>
              <w:t>VIF方差膨胀因子分析、RDA/CCA分析、db-RDA分析、相关性Heatmap图、排序回归分析、Mantel test分析</w:t>
            </w:r>
            <w:r>
              <w:rPr>
                <w:rFonts w:hint="eastAsia" w:asciiTheme="minorEastAsia" w:hAnsiTheme="minorEastAsia"/>
                <w:color w:val="000000" w:themeColor="text1"/>
                <w:szCs w:val="21"/>
                <w14:textFill>
                  <w14:solidFill>
                    <w14:schemeClr w14:val="tx1"/>
                  </w14:solidFill>
                </w14:textFill>
              </w:rPr>
              <w:t>等）；关联与模型预测分析（随机森林分析、ROC曲线、network网络分析）；进化分析；功能预测分析（PICRUSt、Tax4Fun、FUNGuild功能预测等）。</w:t>
            </w:r>
          </w:p>
          <w:p>
            <w:pPr>
              <w:spacing w:line="360" w:lineRule="auto"/>
              <w:ind w:left="0" w:leftChars="0" w:firstLine="0" w:firstLineChars="0"/>
              <w:rPr>
                <w:rFonts w:hint="default" w:ascii="宋体" w:hAnsi="宋体" w:eastAsia="宋体" w:cs="宋体"/>
                <w:b w:val="0"/>
                <w:color w:val="000000"/>
                <w:kern w:val="0"/>
                <w:sz w:val="22"/>
                <w:szCs w:val="22"/>
                <w:lang w:val="en-US" w:eastAsia="zh-CN" w:bidi="ar"/>
              </w:rPr>
            </w:pPr>
            <w:r>
              <w:rPr>
                <w:rFonts w:hint="eastAsia" w:asciiTheme="minorEastAsia" w:hAnsiTheme="minorEastAsia"/>
                <w:color w:val="000000" w:themeColor="text1"/>
                <w:szCs w:val="21"/>
                <w14:textFill>
                  <w14:solidFill>
                    <w14:schemeClr w14:val="tx1"/>
                  </w14:solidFill>
                </w14:textFill>
              </w:rPr>
              <w:t>（4）项目周期：每批次样本扩增质检合格后，每批次服务周期不超过30天。</w:t>
            </w:r>
          </w:p>
        </w:tc>
        <w:tc>
          <w:tcPr>
            <w:tcW w:w="960"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40个样本</w:t>
            </w:r>
          </w:p>
        </w:tc>
        <w:tc>
          <w:tcPr>
            <w:tcW w:w="106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250元</w:t>
            </w:r>
          </w:p>
        </w:tc>
        <w:tc>
          <w:tcPr>
            <w:tcW w:w="100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10000元</w:t>
            </w:r>
          </w:p>
        </w:tc>
        <w:tc>
          <w:tcPr>
            <w:tcW w:w="1001" w:type="dxa"/>
            <w:vMerge w:val="continue"/>
            <w:tcBorders/>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商务部分：</w:t>
            </w:r>
            <w:r>
              <w:rPr>
                <w:rFonts w:hint="eastAsia" w:ascii="方正仿宋_GBK" w:hAnsi="方正仿宋_GBK" w:eastAsia="方正仿宋_GBK" w:cs="方正仿宋_GBK"/>
                <w:b/>
                <w:bCs/>
                <w:sz w:val="28"/>
                <w:szCs w:val="36"/>
                <w:lang w:val="en-US" w:eastAsia="zh-CN"/>
              </w:rPr>
              <w:t>（须完全响应）</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（一）时间地点</w:t>
            </w:r>
            <w:r>
              <w:rPr>
                <w:rFonts w:hint="eastAsia" w:ascii="宋体" w:hAnsi="宋体" w:eastAsia="宋体" w:cs="宋体"/>
                <w:color w:val="auto"/>
                <w:kern w:val="0"/>
                <w:sz w:val="24"/>
                <w:szCs w:val="24"/>
                <w:lang w:val="en-US" w:eastAsia="zh-CN"/>
              </w:rPr>
              <w:t>及报价</w:t>
            </w:r>
            <w:r>
              <w:rPr>
                <w:rFonts w:hint="eastAsia" w:ascii="宋体" w:hAnsi="宋体" w:eastAsia="宋体" w:cs="宋体"/>
                <w:color w:val="auto"/>
                <w:kern w:val="0"/>
                <w:sz w:val="24"/>
                <w:szCs w:val="24"/>
                <w:lang w:eastAsia="zh-CN"/>
              </w:rPr>
              <w:t>要求</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1.交付期限：合同签订后</w:t>
            </w:r>
            <w:r>
              <w:rPr>
                <w:rFonts w:hint="eastAsia" w:ascii="宋体" w:hAnsi="宋体" w:eastAsia="宋体" w:cs="宋体"/>
                <w:color w:val="auto"/>
                <w:kern w:val="0"/>
                <w:sz w:val="24"/>
                <w:szCs w:val="24"/>
                <w:lang w:val="en-US" w:eastAsia="zh-CN"/>
              </w:rPr>
              <w:t>30日内完成本项目</w:t>
            </w:r>
            <w:r>
              <w:rPr>
                <w:rFonts w:hint="eastAsia" w:ascii="宋体" w:hAnsi="宋体" w:eastAsia="宋体" w:cs="宋体"/>
                <w:color w:val="auto"/>
                <w:kern w:val="0"/>
                <w:sz w:val="24"/>
                <w:szCs w:val="24"/>
                <w:lang w:eastAsia="zh-CN"/>
              </w:rPr>
              <w:t>。</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lang w:eastAsia="zh-CN"/>
              </w:rPr>
              <w:t>地点：重庆市璧山区人民医院</w:t>
            </w:r>
            <w:r>
              <w:rPr>
                <w:rFonts w:hint="eastAsia" w:ascii="宋体" w:hAnsi="宋体" w:eastAsia="宋体" w:cs="宋体"/>
                <w:color w:val="auto"/>
                <w:kern w:val="0"/>
                <w:sz w:val="24"/>
                <w:szCs w:val="24"/>
                <w:lang w:val="en-US" w:eastAsia="zh-CN"/>
              </w:rPr>
              <w:t>指</w:t>
            </w:r>
            <w:r>
              <w:rPr>
                <w:rFonts w:hint="eastAsia" w:ascii="宋体" w:hAnsi="宋体" w:eastAsia="宋体" w:cs="宋体"/>
                <w:color w:val="auto"/>
                <w:kern w:val="0"/>
                <w:sz w:val="24"/>
                <w:szCs w:val="24"/>
                <w:lang w:eastAsia="zh-CN"/>
              </w:rPr>
              <w:t>定地点。</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报价要求：本次报价为人民币包干价，包含：人工费、实验检测费、资料装订及邮寄费、标本运输费、生物安全管理费、税费、数据保密费、保险费、验收检测费等完成本项目所需的一切费用。因成交供应商自身原因造成漏报、少报皆由其自行承担责任，采购人不再补偿。服务期间发生的安全责任事故由供应商自行承担。</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（二）付款方式</w:t>
            </w:r>
          </w:p>
          <w:p>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0" w:name="_Toc267320052"/>
            <w:r>
              <w:rPr>
                <w:rFonts w:hint="eastAsia" w:ascii="宋体" w:hAnsi="宋体" w:eastAsia="宋体" w:cs="宋体"/>
                <w:color w:val="000000" w:themeColor="text1"/>
                <w:kern w:val="0"/>
                <w:sz w:val="24"/>
                <w:szCs w:val="24"/>
                <w:lang w:val="en-US" w:eastAsia="zh-CN"/>
                <w14:textFill>
                  <w14:solidFill>
                    <w14:schemeClr w14:val="tx1"/>
                  </w14:solidFill>
                </w14:textFill>
              </w:rPr>
              <w:t>合同签订后</w:t>
            </w:r>
            <w:bookmarkStart w:id="1" w:name="_Toc520204758"/>
            <w:bookmarkStart w:id="2" w:name="_Toc12794"/>
            <w:bookmarkStart w:id="3" w:name="_Toc31427"/>
            <w:bookmarkStart w:id="4" w:name="_Toc24569668"/>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供应商开具相应金额的发票，采购人在10日内支付</w:t>
            </w:r>
            <w:r>
              <w:rPr>
                <w:rFonts w:hint="eastAsia" w:ascii="宋体" w:hAnsi="宋体" w:eastAsia="宋体" w:cs="宋体"/>
                <w:color w:val="000000" w:themeColor="text1"/>
                <w:kern w:val="0"/>
                <w:sz w:val="24"/>
                <w:szCs w:val="24"/>
                <w:lang w:val="en-US" w:eastAsia="zh-CN"/>
                <w14:textFill>
                  <w14:solidFill>
                    <w14:schemeClr w14:val="tx1"/>
                  </w14:solidFill>
                </w14:textFill>
              </w:rPr>
              <w:t>支付全部服务费，供应商应提供完成项目的承诺函担保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bookmarkEnd w:id="1"/>
          <w:bookmarkEnd w:id="2"/>
          <w:bookmarkEnd w:id="3"/>
          <w:bookmarkEnd w:id="4"/>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（三）合同签订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成交供应商在接到成交通知后10日内与采购人签订采购合同和廉政购销协议。</w:t>
            </w:r>
          </w:p>
          <w:bookmarkEnd w:id="0"/>
          <w:p>
            <w:pPr>
              <w:snapToGrid w:val="0"/>
              <w:spacing w:line="360" w:lineRule="auto"/>
              <w:ind w:firstLine="560" w:firstLineChars="200"/>
              <w:rPr>
                <w:rFonts w:hint="eastAsia" w:ascii="宋体" w:hAnsi="宋体" w:eastAsia="宋体" w:cs="宋体"/>
                <w:color w:val="auto"/>
                <w:kern w:val="0"/>
                <w:sz w:val="24"/>
                <w:szCs w:val="24"/>
                <w:lang w:val="en-US" w:eastAsia="zh-CN"/>
              </w:rPr>
            </w:pPr>
            <w:r>
              <w:rPr>
                <w:rFonts w:hint="eastAsia" w:ascii="方正仿宋_GBK" w:hAnsi="方正仿宋_GBK" w:eastAsia="方正仿宋_GBK" w:cs="方正仿宋_GBK"/>
                <w:sz w:val="28"/>
                <w:szCs w:val="36"/>
              </w:rPr>
              <w:t>（四）</w:t>
            </w:r>
            <w:r>
              <w:rPr>
                <w:rFonts w:hint="eastAsia" w:ascii="宋体" w:hAnsi="宋体" w:eastAsia="宋体" w:cs="宋体"/>
                <w:color w:val="auto"/>
                <w:kern w:val="0"/>
                <w:sz w:val="24"/>
                <w:szCs w:val="24"/>
                <w:lang w:val="en-US" w:eastAsia="zh-CN"/>
              </w:rPr>
              <w:t>培训及验收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1.在规定时间内完成交付正式使用，并经采购人确认。</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2.按照考核标准和服务内容对供应商服务内容进行验收，如考核不合格将承担相应违约责任。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3.服务结束后，采购人对项目数据有质疑，应协助采购人调查。</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（六）质量保证及售后服务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1.质量保证</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数据真实可靠，随时接受复核检测。</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（1）投标人须依据招标参数及后期合同，如实履行样品检测及数据分析，保证科研数据真实可靠。</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（2）投标人需在合同期内随时解答与项目技术及数据分析相关问题，做好售后。</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（3）售后服务期以招标人科研成果产出需求为准。</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bookmarkStart w:id="5" w:name="_Toc3955"/>
            <w:r>
              <w:rPr>
                <w:rFonts w:hint="eastAsia" w:ascii="宋体" w:hAnsi="宋体" w:eastAsia="宋体" w:cs="宋体"/>
                <w:color w:val="auto"/>
                <w:kern w:val="0"/>
                <w:sz w:val="24"/>
                <w:szCs w:val="24"/>
                <w:lang w:val="en-US" w:eastAsia="zh-CN"/>
              </w:rPr>
              <w:t>踏勘</w:t>
            </w:r>
            <w:bookmarkEnd w:id="5"/>
            <w:r>
              <w:rPr>
                <w:rFonts w:hint="eastAsia" w:ascii="宋体" w:hAnsi="宋体" w:eastAsia="宋体" w:cs="宋体"/>
                <w:color w:val="auto"/>
                <w:kern w:val="0"/>
                <w:sz w:val="24"/>
                <w:szCs w:val="24"/>
                <w:lang w:val="en-US" w:eastAsia="zh-CN"/>
              </w:rPr>
              <w:t>现场</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（八）知识产权</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九）违约责任：中标供应商未在约定期限提供正式服务，延迟每日支付千分之三的违约金，超过30日未能交付，采购人有权解除合同；按照考核要求验收不合格，采购人有权要求供应商整改，整改期限为10日，整改期限届满仍未完成的供应商每日支付千分之三的违约金，超过20日未能完成整改，采购人有权解除合同；因不能按期交付，整改期限届满以及其他原因导致采购人解除合同，以及供应商明确表示终止合同，供应商需承担合同总金额30%的违约金，并承担对采购人造成的损失。</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（十）中选标准：本项目采用最低评标价法评选。如超出投标报价、未在规定的时间内上交资料及资料不齐全的为无效报价。</w:t>
            </w:r>
          </w:p>
          <w:p>
            <w:pPr>
              <w:snapToGrid w:val="0"/>
              <w:spacing w:line="360" w:lineRule="auto"/>
              <w:ind w:firstLine="480" w:firstLineChars="200"/>
              <w:rPr>
                <w:rFonts w:hint="eastAsia" w:eastAsia="微软雅黑"/>
                <w:lang w:val="en-US" w:eastAsia="zh-CN"/>
              </w:rPr>
            </w:pPr>
            <w:r>
              <w:rPr>
                <w:rFonts w:hint="eastAsia" w:ascii="宋体" w:hAnsi="宋体" w:eastAsia="宋体" w:cs="宋体"/>
                <w:color w:val="auto"/>
                <w:kern w:val="0"/>
                <w:sz w:val="24"/>
                <w:szCs w:val="24"/>
                <w:lang w:val="en-US" w:eastAsia="zh-CN"/>
              </w:rPr>
              <w:t>（十一）其他要求：1.本次采购过程中如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imes New Roman" w:hAnsi="Times New Roman" w:eastAsia="微软雅黑" w:cs="Times New Roman"/>
                <w:i w:val="0"/>
                <w:caps w:val="0"/>
                <w:color w:val="555555"/>
                <w:spacing w:val="0"/>
                <w:kern w:val="0"/>
                <w:sz w:val="21"/>
                <w:szCs w:val="21"/>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承诺：完全响应采购人的服务要求和商务要求，对本次投标资料的真实性负责。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6" w:name="_Toc173677397"/>
      <w:bookmarkStart w:id="7" w:name="_Toc156730450"/>
      <w:bookmarkStart w:id="8" w:name="_Toc156196559"/>
      <w:bookmarkStart w:id="9" w:name="_Toc175017342"/>
      <w:bookmarkStart w:id="10" w:name="_Toc166549448"/>
      <w:bookmarkStart w:id="11" w:name="_Toc166139912"/>
      <w:bookmarkStart w:id="12" w:name="_Toc156815770"/>
      <w:bookmarkStart w:id="13" w:name="_Toc128229302"/>
      <w:bookmarkStart w:id="14" w:name="_Toc128229745"/>
      <w:bookmarkStart w:id="15" w:name="_Toc128229916"/>
      <w:bookmarkStart w:id="16" w:name="_Toc156196470"/>
      <w:r>
        <w:rPr>
          <w:rFonts w:hint="eastAsia" w:ascii="仿宋_GB2312" w:eastAsia="仿宋_GB2312"/>
          <w:color w:val="auto"/>
          <w:sz w:val="28"/>
          <w:szCs w:val="28"/>
        </w:rPr>
        <w:t>特此证明。</w:t>
      </w:r>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7" w:name="_Toc166139913"/>
      <w:bookmarkStart w:id="18" w:name="_Toc128229303"/>
      <w:bookmarkStart w:id="19" w:name="_Toc166549449"/>
      <w:bookmarkStart w:id="20" w:name="_Toc175017343"/>
      <w:bookmarkStart w:id="21" w:name="_Toc156196471"/>
      <w:bookmarkStart w:id="22" w:name="_Toc128229917"/>
      <w:bookmarkStart w:id="23" w:name="_Toc156196560"/>
      <w:bookmarkStart w:id="24" w:name="_Toc173677398"/>
      <w:bookmarkStart w:id="25" w:name="_Toc128229746"/>
      <w:bookmarkStart w:id="26" w:name="_Toc156730451"/>
      <w:bookmarkStart w:id="27" w:name="_Toc156815771"/>
      <w:r>
        <w:rPr>
          <w:rFonts w:hint="eastAsia" w:ascii="仿宋_GB2312" w:eastAsia="仿宋_GB2312"/>
          <w:color w:val="auto"/>
          <w:sz w:val="28"/>
          <w:szCs w:val="28"/>
        </w:rPr>
        <w:t xml:space="preserve">  投标人全称</w:t>
      </w:r>
      <w:bookmarkEnd w:id="17"/>
      <w:bookmarkEnd w:id="18"/>
      <w:bookmarkEnd w:id="19"/>
      <w:bookmarkEnd w:id="20"/>
      <w:bookmarkEnd w:id="21"/>
      <w:bookmarkEnd w:id="22"/>
      <w:bookmarkEnd w:id="23"/>
      <w:bookmarkEnd w:id="24"/>
      <w:bookmarkEnd w:id="25"/>
      <w:bookmarkEnd w:id="26"/>
      <w:bookmarkEnd w:id="27"/>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8" w:name="_Toc128229747"/>
      <w:bookmarkStart w:id="29" w:name="_Toc237057793"/>
      <w:bookmarkStart w:id="30" w:name="_Toc128229304"/>
      <w:bookmarkStart w:id="31" w:name="_Toc128014297"/>
      <w:bookmarkStart w:id="32" w:name="_Toc175017344"/>
      <w:bookmarkStart w:id="33" w:name="_Toc156196472"/>
      <w:bookmarkStart w:id="34" w:name="_Toc173677399"/>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8"/>
      <w:bookmarkEnd w:id="29"/>
      <w:bookmarkEnd w:id="30"/>
      <w:bookmarkEnd w:id="31"/>
      <w:bookmarkEnd w:id="32"/>
      <w:bookmarkEnd w:id="33"/>
      <w:bookmarkEnd w:id="34"/>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6.其他可以证明投标人有能力完成本项目的佐证材料（如人员配置、设备清单及实验室条件）</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3E2337A"/>
    <w:rsid w:val="0C872834"/>
    <w:rsid w:val="0CC33F47"/>
    <w:rsid w:val="0CE64C8D"/>
    <w:rsid w:val="0FD01451"/>
    <w:rsid w:val="122D0B62"/>
    <w:rsid w:val="1922346A"/>
    <w:rsid w:val="1AF86BE0"/>
    <w:rsid w:val="1BDE0896"/>
    <w:rsid w:val="1CF00EFC"/>
    <w:rsid w:val="1FA67FFA"/>
    <w:rsid w:val="21426D4A"/>
    <w:rsid w:val="236757CC"/>
    <w:rsid w:val="24E05FC0"/>
    <w:rsid w:val="2CEC7C70"/>
    <w:rsid w:val="2E2F3D72"/>
    <w:rsid w:val="2FC44243"/>
    <w:rsid w:val="30A616FC"/>
    <w:rsid w:val="31FB77D3"/>
    <w:rsid w:val="33FB61AD"/>
    <w:rsid w:val="37545739"/>
    <w:rsid w:val="376E6279"/>
    <w:rsid w:val="43FA3134"/>
    <w:rsid w:val="485376B2"/>
    <w:rsid w:val="496140CE"/>
    <w:rsid w:val="49720CB8"/>
    <w:rsid w:val="4AE139DB"/>
    <w:rsid w:val="4BDB0A24"/>
    <w:rsid w:val="4C31315D"/>
    <w:rsid w:val="59BA3E3C"/>
    <w:rsid w:val="61130716"/>
    <w:rsid w:val="61143219"/>
    <w:rsid w:val="61FF5DDB"/>
    <w:rsid w:val="626B6216"/>
    <w:rsid w:val="67A74257"/>
    <w:rsid w:val="69D01878"/>
    <w:rsid w:val="6AA47354"/>
    <w:rsid w:val="6B69706A"/>
    <w:rsid w:val="6DD05A39"/>
    <w:rsid w:val="6EC6360F"/>
    <w:rsid w:val="713118C3"/>
    <w:rsid w:val="71C02C3F"/>
    <w:rsid w:val="72BB5C94"/>
    <w:rsid w:val="7A3F4413"/>
    <w:rsid w:val="7BD834BB"/>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3</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2024-07-09T16:25:08Z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